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</w:rPr>
        <w:t xml:space="preserve">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b w:val="0"/>
          <w:sz w:val="28"/>
          <w:szCs w:val="28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___________ №_____</w:t>
      </w:r>
      <w:r>
        <w:rPr>
          <w:rFonts w:ascii="PT Astra Serif" w:hAnsi="PT Astra Serif"/>
          <w:b w:val="0"/>
          <w:sz w:val="28"/>
          <w:szCs w:val="28"/>
          <w:lang w:val="ru-RU"/>
        </w:rPr>
      </w:r>
      <w:r>
        <w:rPr>
          <w:rFonts w:ascii="PT Astra Serif" w:hAnsi="PT Astra Serif"/>
          <w:b w:val="0"/>
          <w:sz w:val="28"/>
          <w:szCs w:val="28"/>
          <w:lang w:val="ru-RU"/>
        </w:rPr>
      </w:r>
    </w:p>
    <w:p>
      <w:pPr>
        <w:pStyle w:val="85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 </w:t>
      </w:r>
      <w:r>
        <w:rPr>
          <w:rFonts w:ascii="PT Astra Serif" w:hAnsi="PT Astra Serif"/>
          <w:sz w:val="28"/>
          <w:szCs w:val="28"/>
        </w:rPr>
        <w:t xml:space="preserve">межевания территории ограниченной</w:t>
      </w:r>
      <w:r>
        <w:rPr>
          <w:rFonts w:ascii="PT Astra Serif" w:hAnsi="PT Astra Serif"/>
          <w:sz w:val="28"/>
          <w:szCs w:val="28"/>
          <w:lang w:val="en-US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ул. Маршала Василевского, </w:t>
      </w:r>
      <w:r>
        <w:rPr>
          <w:rFonts w:ascii="PT Astra Serif" w:hAnsi="PT Astra Serif"/>
          <w:sz w:val="28"/>
          <w:szCs w:val="28"/>
        </w:rPr>
        <w:t xml:space="preserve">ул. Российской, 5-м Студенческим проездом и ул. Колотилова в г.  Энгельсе Саратовской области</w:t>
      </w:r>
      <w:r>
        <w:rPr>
          <w:rFonts w:ascii="PT Astra Serif" w:hAnsi="PT Astra Serif"/>
          <w:sz w:val="28"/>
          <w:szCs w:val="28"/>
        </w:rPr>
        <w:t xml:space="preserve"> (далее – проект)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val="en-US"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45</w:t>
      </w:r>
      <w:r>
        <w:rPr>
          <w:rFonts w:ascii="PT Astra Serif" w:hAnsi="PT Astra Serif"/>
          <w:sz w:val="28"/>
          <w:szCs w:val="28"/>
        </w:rPr>
        <w:t xml:space="preserve">, 46</w:t>
      </w:r>
      <w:r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r>
        <w:rPr>
          <w:rFonts w:ascii="PT Astra Serif" w:hAnsi="PT Astra Serif"/>
          <w:sz w:val="28"/>
          <w:szCs w:val="28"/>
        </w:rPr>
        <w:t xml:space="preserve">градорегулирования</w:t>
      </w:r>
      <w:r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г. Саратов, 410003,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</w:t>
      </w:r>
      <w:r>
        <w:rPr>
          <w:rFonts w:ascii="PT Astra Serif" w:hAnsi="PT Astra Serif"/>
          <w:sz w:val="28"/>
          <w:szCs w:val="28"/>
        </w:rPr>
        <w:t xml:space="preserve">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10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апреля 2026</w:t>
      </w:r>
      <w:r>
        <w:rPr>
          <w:rFonts w:ascii="PT Astra Serif" w:hAnsi="PT Astra Serif"/>
          <w:b/>
          <w:sz w:val="28"/>
          <w:szCs w:val="28"/>
        </w:rPr>
        <w:t xml:space="preserve"> года по </w:t>
      </w:r>
      <w:r>
        <w:rPr>
          <w:rFonts w:ascii="PT Astra Serif" w:hAnsi="PT Astra Serif"/>
          <w:b/>
          <w:sz w:val="28"/>
          <w:szCs w:val="28"/>
        </w:rPr>
        <w:t xml:space="preserve">13 апреля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2026</w:t>
      </w:r>
      <w:r>
        <w:rPr>
          <w:rFonts w:ascii="PT Astra Serif" w:hAnsi="PT Astra Serif"/>
          <w:b/>
          <w:sz w:val="28"/>
          <w:szCs w:val="28"/>
        </w:rPr>
        <w:t xml:space="preserve"> года.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</w:t>
      </w:r>
      <w:r>
        <w:rPr>
          <w:rFonts w:ascii="PT Astra Serif" w:hAnsi="PT Astra Serif"/>
          <w:sz w:val="28"/>
          <w:szCs w:val="28"/>
        </w:rPr>
        <w:t xml:space="preserve">ый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ему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представлены на экспозиции 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                              г. Саратов, 410003</w:t>
      </w:r>
      <w:r>
        <w:rPr>
          <w:rFonts w:ascii="PT Astra Serif" w:hAnsi="PT Astra Serif"/>
          <w:sz w:val="28"/>
          <w:szCs w:val="28"/>
        </w:rPr>
        <w:t xml:space="preserve">; ул. Челюскинцев, д. 114, г. Саратов, 410042.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</w:t>
      </w:r>
      <w:r>
        <w:rPr>
          <w:rFonts w:ascii="PT Astra Serif" w:hAnsi="PT Astra Serif"/>
          <w:sz w:val="28"/>
          <w:szCs w:val="28"/>
        </w:rPr>
        <w:t xml:space="preserve">открыта </w:t>
      </w:r>
      <w:r>
        <w:rPr>
          <w:rFonts w:ascii="PT Astra Serif" w:hAnsi="PT Astra Serif"/>
          <w:b/>
          <w:sz w:val="28"/>
          <w:szCs w:val="28"/>
        </w:rPr>
        <w:t xml:space="preserve">с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10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апреля 2026</w:t>
      </w:r>
      <w:r>
        <w:rPr>
          <w:rFonts w:ascii="PT Astra Serif" w:hAnsi="PT Astra Serif"/>
          <w:b/>
          <w:sz w:val="28"/>
          <w:szCs w:val="28"/>
        </w:rPr>
        <w:t xml:space="preserve"> года по </w:t>
      </w:r>
      <w:r>
        <w:rPr>
          <w:rFonts w:ascii="PT Astra Serif" w:hAnsi="PT Astra Serif"/>
          <w:b/>
          <w:sz w:val="28"/>
          <w:szCs w:val="28"/>
        </w:rPr>
        <w:t xml:space="preserve">13 апреля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2026</w:t>
      </w:r>
      <w:r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</w:t>
      </w:r>
      <w:r>
        <w:rPr>
          <w:rFonts w:ascii="PT Astra Serif" w:hAnsi="PT Astra Serif"/>
          <w:sz w:val="28"/>
          <w:szCs w:val="28"/>
        </w:rPr>
        <w:t xml:space="preserve">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</w:t>
      </w:r>
      <w:r>
        <w:rPr>
          <w:rFonts w:ascii="PT Astra Serif" w:hAnsi="PT Astra Serif"/>
          <w:sz w:val="28"/>
          <w:szCs w:val="28"/>
        </w:rPr>
        <w:t xml:space="preserve">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10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апреля 2026</w:t>
      </w:r>
      <w:r>
        <w:rPr>
          <w:rFonts w:ascii="PT Astra Serif" w:hAnsi="PT Astra Serif"/>
          <w:b/>
          <w:sz w:val="28"/>
          <w:szCs w:val="28"/>
        </w:rPr>
        <w:t xml:space="preserve"> года по </w:t>
      </w:r>
      <w:r>
        <w:rPr>
          <w:rFonts w:ascii="PT Astra Serif" w:hAnsi="PT Astra Serif"/>
          <w:b/>
          <w:sz w:val="28"/>
          <w:szCs w:val="28"/>
        </w:rPr>
        <w:t xml:space="preserve">13 апреля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2026</w:t>
      </w:r>
      <w:r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 w:val="0"/>
          <w:bCs w:val="0"/>
          <w:sz w:val="28"/>
          <w:szCs w:val="28"/>
        </w:rPr>
        <w:t xml:space="preserve"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обсуждаем</w:t>
      </w:r>
      <w:r>
        <w:rPr>
          <w:rFonts w:ascii="PT Astra Serif" w:hAnsi="PT Astra Serif"/>
          <w:sz w:val="28"/>
          <w:szCs w:val="28"/>
        </w:rPr>
        <w:t xml:space="preserve">ому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проекту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</w:t>
      </w:r>
      <w:r>
        <w:rPr>
          <w:rFonts w:ascii="PT Astra Serif" w:hAnsi="PT Astra Serif"/>
          <w:sz w:val="28"/>
          <w:szCs w:val="28"/>
          <w:lang w:eastAsia="en-US"/>
        </w:rPr>
        <w:t xml:space="preserve">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</w:t>
      </w:r>
      <w:r>
        <w:rPr>
          <w:rFonts w:ascii="PT Astra Serif" w:hAnsi="PT Astra Serif"/>
          <w:sz w:val="28"/>
          <w:szCs w:val="28"/>
          <w:lang w:eastAsia="en-US"/>
        </w:rPr>
        <w:t xml:space="preserve">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</w:t>
      </w:r>
      <w:r>
        <w:rPr>
          <w:rFonts w:ascii="PT Astra Serif" w:hAnsi="PT Astra Serif"/>
          <w:sz w:val="28"/>
          <w:szCs w:val="28"/>
          <w:lang w:eastAsia="en-US"/>
        </w:rPr>
        <w:t xml:space="preserve">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</w:t>
      </w:r>
      <w:r>
        <w:rPr>
          <w:rFonts w:ascii="PT Astra Serif" w:hAnsi="PT Astra Serif"/>
          <w:sz w:val="28"/>
          <w:szCs w:val="28"/>
          <w:lang w:eastAsia="en-US"/>
        </w:rPr>
        <w:t xml:space="preserve">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r>
        <w:rPr>
          <w:rFonts w:ascii="PT Astra Serif" w:hAnsi="PT Astra Serif"/>
          <w:sz w:val="28"/>
          <w:szCs w:val="28"/>
        </w:rPr>
        <w:fldChar w:fldCharType="begin"/>
      </w:r>
      <w:r>
        <w:rPr>
          <w:rFonts w:ascii="PT Astra Serif" w:hAnsi="PT Astra Serif"/>
          <w:sz w:val="28"/>
          <w:szCs w:val="28"/>
        </w:rPr>
        <w:instrText xml:space="preserve"> HYPERLINK "consultantplus://offline/ref=160016D82FD9626A2B22FACCEFA26A250A1A47F35EDE924436F4DA7C9784D25632B7F6E9F0AB16A2AA4A23367F009090F7C186CFBBAEF0ADG" </w:instrText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  <w:lang w:eastAsia="en-US"/>
        </w:rPr>
        <w:t xml:space="preserve">части 12</w:t>
      </w:r>
      <w:r>
        <w:rPr>
          <w:rFonts w:ascii="PT Astra Serif" w:hAnsi="PT Astra Serif"/>
          <w:sz w:val="28"/>
          <w:szCs w:val="28"/>
          <w:lang w:eastAsia="en-US"/>
        </w:rPr>
        <w:fldChar w:fldCharType="end"/>
      </w:r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</w:t>
      </w:r>
      <w:r>
        <w:rPr>
          <w:rFonts w:ascii="PT Astra Serif" w:hAnsi="PT Astra Serif"/>
          <w:sz w:val="28"/>
          <w:szCs w:val="28"/>
          <w:lang w:eastAsia="en-US"/>
        </w:rPr>
        <w:t xml:space="preserve">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pStyle w:val="85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</w:t>
      </w:r>
      <w:r>
        <w:rPr>
          <w:rFonts w:ascii="PT Astra Serif" w:hAnsi="PT Astra Serif"/>
        </w:rPr>
        <w:t xml:space="preserve">________________________________________________________________________,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даю свое согласие министерству строительства и ж</w:t>
      </w:r>
      <w:r>
        <w:rPr>
          <w:rFonts w:ascii="PT Astra Serif" w:hAnsi="PT Astra Serif"/>
          <w:sz w:val="24"/>
          <w:szCs w:val="24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5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5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5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5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«____»</w:t>
      </w:r>
      <w:r>
        <w:rPr>
          <w:rFonts w:ascii="PT Astra Serif" w:hAnsi="PT Astra Serif"/>
          <w:sz w:val="28"/>
          <w:szCs w:val="28"/>
        </w:rPr>
        <w:t xml:space="preserve">______________ 20__ года</w:t>
      </w:r>
      <w:r>
        <w:rPr>
          <w:rFonts w:ascii="PT Astra Serif" w:hAnsi="PT Astra Serif"/>
          <w:sz w:val="28"/>
          <w:szCs w:val="28"/>
        </w:rPr>
        <w:tab/>
        <w:tab/>
        <w:tab/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________________________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  <w:tab/>
        <w:tab/>
        <w:tab/>
        <w:tab/>
        <w:tab/>
        <w:tab/>
        <w:tab/>
        <w:tab/>
        <w:tab/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pStyle w:val="85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, подлежащ</w:t>
      </w:r>
      <w:r>
        <w:rPr>
          <w:rFonts w:ascii="PT Astra Serif" w:hAnsi="PT Astra Serif"/>
          <w:sz w:val="28"/>
          <w:szCs w:val="28"/>
        </w:rPr>
        <w:t xml:space="preserve">ий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рассмотрению на общественных обсуждениях,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ему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.ru).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widowControl w:val="off"/>
        <w:jc w:val="center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pStyle w:val="850"/>
        <w:widowControl w:val="off"/>
        <w:jc w:val="center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  <w:t xml:space="preserve">ЛИСТ СОГЛАСОВАНИЯ</w:t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widowControl w:val="off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  <w:t xml:space="preserve">проекта </w:t>
      </w:r>
      <w:r>
        <w:rPr>
          <w:rFonts w:ascii="PT Astra Serif" w:hAnsi="PT Astra Serif"/>
          <w:b/>
          <w:sz w:val="28"/>
          <w:szCs w:val="28"/>
        </w:rPr>
        <w:t xml:space="preserve">приказа министерства строительства и жилищно-коммунального хозяйства</w:t>
      </w:r>
      <w:r>
        <w:rPr>
          <w:rFonts w:ascii="PT Astra Serif" w:hAnsi="PT Astra Serif"/>
          <w:b/>
          <w:sz w:val="28"/>
          <w:szCs w:val="28"/>
        </w:rPr>
        <w:t xml:space="preserve"> области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widowControl w:val="off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«</w:t>
      </w:r>
      <w:r>
        <w:rPr>
          <w:rFonts w:ascii="PT Astra Serif" w:hAnsi="PT Astra Serif"/>
          <w:b/>
          <w:sz w:val="28"/>
          <w:szCs w:val="28"/>
        </w:rPr>
        <w:t xml:space="preserve">О проведении общественных обсуждений</w:t>
      </w:r>
      <w:r>
        <w:rPr>
          <w:rFonts w:ascii="PT Astra Serif" w:hAnsi="PT Astra Serif"/>
          <w:b/>
          <w:sz w:val="28"/>
          <w:szCs w:val="28"/>
        </w:rPr>
        <w:t xml:space="preserve">»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</w:p>
    <w:p>
      <w:pPr>
        <w:pStyle w:val="850"/>
        <w:jc w:val="center"/>
        <w:rPr>
          <w:rFonts w:ascii="PT Astra Serif" w:hAnsi="PT Astra Serif"/>
          <w:b/>
          <w:sz w:val="2"/>
          <w:szCs w:val="2"/>
        </w:rPr>
      </w:pPr>
      <w:r>
        <w:rPr>
          <w:rFonts w:ascii="PT Astra Serif" w:hAnsi="PT Astra Serif"/>
          <w:b/>
          <w:sz w:val="2"/>
          <w:szCs w:val="2"/>
        </w:rPr>
      </w:r>
      <w:r>
        <w:rPr>
          <w:rFonts w:ascii="PT Astra Serif" w:hAnsi="PT Astra Serif"/>
          <w:b/>
          <w:sz w:val="2"/>
          <w:szCs w:val="2"/>
        </w:rPr>
      </w:r>
      <w:r>
        <w:rPr>
          <w:rFonts w:ascii="PT Astra Serif" w:hAnsi="PT Astra Serif"/>
          <w:b/>
          <w:sz w:val="2"/>
          <w:szCs w:val="2"/>
        </w:rPr>
      </w:r>
    </w:p>
    <w:p>
      <w:pPr>
        <w:pStyle w:val="85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СОГЛАСОВАНО:</w:t>
      </w: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</w:p>
    <w:tbl>
      <w:tblPr>
        <w:tblW w:w="5001" w:type="pct"/>
        <w:tblInd w:w="-34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1886"/>
        <w:gridCol w:w="2676"/>
        <w:gridCol w:w="2544"/>
        <w:gridCol w:w="2466"/>
      </w:tblGrid>
      <w:tr>
        <w:trPr>
          <w:cantSplit/>
          <w:trHeight w:val="1220"/>
        </w:trPr>
        <w:tblPrEx/>
        <w:tc>
          <w:tcPr>
            <w:tcW w:w="9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дата) 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Заместитель министра – главный архитектор области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2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_________________  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А.В. Пузанова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cantSplit/>
          <w:trHeight w:val="974"/>
        </w:trPr>
        <w:tblPrEx/>
        <w:tc>
          <w:tcPr>
            <w:tcW w:w="9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2.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дата) 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Начальник организационно-правового управления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  <w:highlight w:val="none"/>
              </w:rPr>
            </w:r>
          </w:p>
        </w:tc>
        <w:tc>
          <w:tcPr>
            <w:tcW w:w="132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И.Н. Родимцева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cantSplit/>
          <w:trHeight w:val="1308"/>
        </w:trPr>
        <w:tblPrEx/>
        <w:tc>
          <w:tcPr>
            <w:tcW w:w="9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3.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дата) 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Начальник отдела правовой и кадровой работы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2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О.Ю. Ковалёва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cantSplit/>
          <w:trHeight w:val="1426"/>
        </w:trPr>
        <w:tblPrEx/>
        <w:tc>
          <w:tcPr>
            <w:tcW w:w="9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дата) 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Начальник отдела организационной работы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2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А.Р. Волкова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cantSplit/>
          <w:trHeight w:val="1165"/>
        </w:trPr>
        <w:tblPrEx/>
        <w:tc>
          <w:tcPr>
            <w:tcW w:w="9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5. 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дата) 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Начальник управления градорегулирования и архитектуры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2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Д.А. Деров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cantSplit/>
          <w:trHeight w:val="1984"/>
        </w:trPr>
        <w:tblPrEx/>
        <w:tc>
          <w:tcPr>
            <w:tcW w:w="9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6. 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(дата)   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Заместитель начальника управления – начальник отдела градостроительного регулирования развития территорий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2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Н.С.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Бордюг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287"/>
        </w:trPr>
        <w:tblPrEx/>
        <w:tc>
          <w:tcPr>
            <w:tcW w:w="985" w:type="pct"/>
            <w:vMerge w:val="restar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7.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(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дата) 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98" w:type="pct"/>
            <w:vMerge w:val="restar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Консультант отдела градостроительного регулирования развития территорий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329" w:type="pct"/>
            <w:vMerge w:val="restar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_________________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288" w:type="pct"/>
            <w:vMerge w:val="restar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Е.П. Белякова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/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Cambria">
    <w:panose1 w:val="02040503050406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22"/>
      <w:numFmt w:val="decimal"/>
      <w:isLgl w:val="false"/>
      <w:suff w:val="tab"/>
      <w:lvlText w:val="%1"/>
      <w:lvlJc w:val="left"/>
      <w:pPr>
        <w:tabs>
          <w:tab w:val="num" w:pos="1395" w:leader="none"/>
        </w:tabs>
        <w:ind w:left="1395" w:hanging="1395"/>
      </w:pPr>
    </w:lvl>
    <w:lvl w:ilvl="1">
      <w:start w:val="5"/>
      <w:numFmt w:val="decimalZero"/>
      <w:isLgl w:val="false"/>
      <w:suff w:val="tab"/>
      <w:lvlText w:val="%1.%2"/>
      <w:lvlJc w:val="left"/>
      <w:pPr>
        <w:tabs>
          <w:tab w:val="num" w:pos="1395" w:leader="none"/>
        </w:tabs>
        <w:ind w:left="1395" w:hanging="1395"/>
      </w:pPr>
    </w:lvl>
    <w:lvl w:ilvl="2">
      <w:start w:val="2006"/>
      <w:numFmt w:val="decimal"/>
      <w:isLgl w:val="false"/>
      <w:suff w:val="tab"/>
      <w:lvlText w:val="%1.%2.%3"/>
      <w:lvlJc w:val="left"/>
      <w:pPr>
        <w:tabs>
          <w:tab w:val="num" w:pos="1395" w:leader="none"/>
        </w:tabs>
        <w:ind w:left="1395" w:hanging="1395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1395" w:leader="none"/>
        </w:tabs>
        <w:ind w:left="1395" w:hanging="1395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1395" w:leader="none"/>
        </w:tabs>
        <w:ind w:left="1395" w:hanging="1395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1440" w:leader="none"/>
        </w:tabs>
        <w:ind w:left="14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1440" w:leader="none"/>
        </w:tabs>
        <w:ind w:left="14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1800" w:leader="none"/>
        </w:tabs>
        <w:ind w:left="180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2160" w:leader="none"/>
        </w:tabs>
        <w:ind w:left="2160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ind w:left="720"/>
      <w:contextualSpacing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spacing w:after="57"/>
      <w:ind w:left="0" w:right="0" w:firstLine="0"/>
    </w:pPr>
  </w:style>
  <w:style w:type="paragraph" w:styleId="840">
    <w:name w:val="toc 2"/>
    <w:basedOn w:val="850"/>
    <w:next w:val="850"/>
    <w:uiPriority w:val="39"/>
    <w:unhideWhenUsed/>
    <w:pPr>
      <w:spacing w:after="57"/>
      <w:ind w:left="283" w:right="0" w:firstLine="0"/>
    </w:pPr>
  </w:style>
  <w:style w:type="paragraph" w:styleId="841">
    <w:name w:val="toc 3"/>
    <w:basedOn w:val="850"/>
    <w:next w:val="850"/>
    <w:uiPriority w:val="39"/>
    <w:unhideWhenUsed/>
    <w:pPr>
      <w:spacing w:after="57"/>
      <w:ind w:left="567" w:right="0" w:firstLine="0"/>
    </w:pPr>
  </w:style>
  <w:style w:type="paragraph" w:styleId="842">
    <w:name w:val="toc 4"/>
    <w:basedOn w:val="850"/>
    <w:next w:val="850"/>
    <w:uiPriority w:val="39"/>
    <w:unhideWhenUsed/>
    <w:pPr>
      <w:spacing w:after="57"/>
      <w:ind w:left="850" w:right="0" w:firstLine="0"/>
    </w:pPr>
  </w:style>
  <w:style w:type="paragraph" w:styleId="843">
    <w:name w:val="toc 5"/>
    <w:basedOn w:val="850"/>
    <w:next w:val="850"/>
    <w:uiPriority w:val="39"/>
    <w:unhideWhenUsed/>
    <w:pPr>
      <w:spacing w:after="57"/>
      <w:ind w:left="1134" w:right="0" w:firstLine="0"/>
    </w:pPr>
  </w:style>
  <w:style w:type="paragraph" w:styleId="844">
    <w:name w:val="toc 6"/>
    <w:basedOn w:val="850"/>
    <w:next w:val="850"/>
    <w:uiPriority w:val="39"/>
    <w:unhideWhenUsed/>
    <w:pPr>
      <w:spacing w:after="57"/>
      <w:ind w:left="1417" w:right="0" w:firstLine="0"/>
    </w:pPr>
  </w:style>
  <w:style w:type="paragraph" w:styleId="845">
    <w:name w:val="toc 7"/>
    <w:basedOn w:val="850"/>
    <w:next w:val="850"/>
    <w:uiPriority w:val="39"/>
    <w:unhideWhenUsed/>
    <w:pPr>
      <w:spacing w:after="57"/>
      <w:ind w:left="1701" w:right="0" w:firstLine="0"/>
    </w:pPr>
  </w:style>
  <w:style w:type="paragraph" w:styleId="846">
    <w:name w:val="toc 8"/>
    <w:basedOn w:val="850"/>
    <w:next w:val="850"/>
    <w:uiPriority w:val="39"/>
    <w:unhideWhenUsed/>
    <w:pPr>
      <w:spacing w:after="57"/>
      <w:ind w:left="1984" w:right="0" w:firstLine="0"/>
    </w:pPr>
  </w:style>
  <w:style w:type="paragraph" w:styleId="847">
    <w:name w:val="toc 9"/>
    <w:basedOn w:val="850"/>
    <w:next w:val="850"/>
    <w:uiPriority w:val="39"/>
    <w:unhideWhenUsed/>
    <w:pPr>
      <w:spacing w:after="57"/>
      <w:ind w:left="2268" w:right="0" w:firstLine="0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character" w:styleId="851">
    <w:name w:val="Основной шрифт абзаца"/>
    <w:next w:val="851"/>
    <w:link w:val="850"/>
    <w:uiPriority w:val="1"/>
    <w:unhideWhenUsed/>
  </w:style>
  <w:style w:type="table" w:styleId="852">
    <w:name w:val="Обычная таблица"/>
    <w:next w:val="852"/>
    <w:link w:val="850"/>
    <w:uiPriority w:val="99"/>
    <w:semiHidden/>
    <w:unhideWhenUsed/>
    <w:qFormat/>
    <w:tblPr/>
  </w:style>
  <w:style w:type="numbering" w:styleId="853">
    <w:name w:val="Нет списка"/>
    <w:next w:val="853"/>
    <w:link w:val="850"/>
    <w:uiPriority w:val="99"/>
    <w:semiHidden/>
    <w:unhideWhenUsed/>
  </w:style>
  <w:style w:type="paragraph" w:styleId="854">
    <w:name w:val="Основной текст с отступом 3"/>
    <w:basedOn w:val="850"/>
    <w:next w:val="854"/>
    <w:link w:val="855"/>
    <w:pPr>
      <w:ind w:firstLine="709"/>
      <w:jc w:val="both"/>
    </w:pPr>
    <w:rPr>
      <w:sz w:val="28"/>
      <w:szCs w:val="20"/>
      <w:lang w:val="en-US" w:eastAsia="en-US"/>
    </w:rPr>
  </w:style>
  <w:style w:type="character" w:styleId="855">
    <w:name w:val="Основной текст с отступом 3 Знак"/>
    <w:next w:val="855"/>
    <w:link w:val="854"/>
    <w:rPr>
      <w:sz w:val="28"/>
    </w:rPr>
  </w:style>
  <w:style w:type="paragraph" w:styleId="856">
    <w:name w:val="Текст выноски"/>
    <w:basedOn w:val="850"/>
    <w:next w:val="856"/>
    <w:link w:val="857"/>
    <w:rPr>
      <w:rFonts w:ascii="Tahoma" w:hAnsi="Tahoma"/>
      <w:sz w:val="16"/>
      <w:szCs w:val="16"/>
      <w:lang w:val="en-US" w:eastAsia="en-US"/>
    </w:rPr>
  </w:style>
  <w:style w:type="character" w:styleId="857">
    <w:name w:val="Текст выноски Знак"/>
    <w:next w:val="857"/>
    <w:link w:val="856"/>
    <w:rPr>
      <w:rFonts w:ascii="Tahoma" w:hAnsi="Tahoma" w:cs="Tahoma"/>
      <w:sz w:val="16"/>
      <w:szCs w:val="16"/>
    </w:rPr>
  </w:style>
  <w:style w:type="paragraph" w:styleId="858">
    <w:name w:val="Верхний колонтитул"/>
    <w:basedOn w:val="850"/>
    <w:next w:val="858"/>
    <w:link w:val="859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59">
    <w:name w:val="Верхний колонтитул Знак"/>
    <w:next w:val="859"/>
    <w:link w:val="858"/>
    <w:uiPriority w:val="99"/>
    <w:rPr>
      <w:sz w:val="24"/>
      <w:szCs w:val="24"/>
    </w:rPr>
  </w:style>
  <w:style w:type="paragraph" w:styleId="860">
    <w:name w:val="Нижний колонтитул"/>
    <w:basedOn w:val="850"/>
    <w:next w:val="860"/>
    <w:link w:val="861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61">
    <w:name w:val="Нижний колонтитул Знак"/>
    <w:next w:val="861"/>
    <w:link w:val="860"/>
    <w:rPr>
      <w:sz w:val="24"/>
      <w:szCs w:val="24"/>
    </w:rPr>
  </w:style>
  <w:style w:type="character" w:styleId="862">
    <w:name w:val="Гиперссылка"/>
    <w:next w:val="862"/>
    <w:link w:val="850"/>
    <w:rPr>
      <w:color w:val="0000ff"/>
      <w:u w:val="single"/>
    </w:rPr>
  </w:style>
  <w:style w:type="paragraph" w:styleId="863">
    <w:name w:val="Название"/>
    <w:basedOn w:val="850"/>
    <w:next w:val="850"/>
    <w:link w:val="864"/>
    <w:uiPriority w:val="10"/>
    <w:qFormat/>
    <w:pPr>
      <w:widowControl w:val="off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64">
    <w:name w:val="Название Знак"/>
    <w:next w:val="864"/>
    <w:link w:val="863"/>
    <w:uiPriority w:val="10"/>
    <w:rPr>
      <w:rFonts w:ascii="Cambria" w:hAnsi="Cambria"/>
      <w:b/>
      <w:bCs/>
      <w:sz w:val="32"/>
      <w:szCs w:val="32"/>
    </w:rPr>
  </w:style>
  <w:style w:type="paragraph" w:styleId="865">
    <w:name w:val="Абзац списка1"/>
    <w:basedOn w:val="850"/>
    <w:next w:val="865"/>
    <w:link w:val="850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866">
    <w:name w:val="Сетка таблицы"/>
    <w:basedOn w:val="852"/>
    <w:next w:val="866"/>
    <w:link w:val="850"/>
    <w:tblPr/>
  </w:style>
  <w:style w:type="paragraph" w:styleId="867">
    <w:name w:val="Знак Знак Char Char"/>
    <w:basedOn w:val="868"/>
    <w:next w:val="867"/>
    <w:link w:val="850"/>
    <w:pPr>
      <w:widowControl w:val="off"/>
      <w:ind w:left="0"/>
      <w:jc w:val="both"/>
    </w:pPr>
    <w:rPr>
      <w:rFonts w:ascii="Arial" w:hAnsi="Arial" w:eastAsia="SimSun" w:cs="Arial"/>
      <w:sz w:val="21"/>
      <w:lang w:val="en-US" w:eastAsia="zh-CN"/>
    </w:rPr>
  </w:style>
  <w:style w:type="paragraph" w:styleId="868">
    <w:name w:val="Обычный отступ"/>
    <w:basedOn w:val="850"/>
    <w:next w:val="868"/>
    <w:link w:val="850"/>
    <w:pPr>
      <w:ind w:left="708"/>
    </w:pPr>
  </w:style>
  <w:style w:type="paragraph" w:styleId="869">
    <w:name w:val="Без интервала"/>
    <w:next w:val="869"/>
    <w:link w:val="850"/>
    <w:uiPriority w:val="1"/>
    <w:qFormat/>
    <w:rPr>
      <w:sz w:val="24"/>
      <w:szCs w:val="24"/>
      <w:lang w:val="ru-RU" w:eastAsia="ru-RU" w:bidi="ar-SA"/>
    </w:rPr>
  </w:style>
  <w:style w:type="paragraph" w:styleId="870">
    <w:name w:val="Основной текст"/>
    <w:basedOn w:val="850"/>
    <w:next w:val="870"/>
    <w:link w:val="871"/>
    <w:pPr>
      <w:spacing w:after="120"/>
    </w:pPr>
    <w:rPr>
      <w:lang w:val="en-US" w:eastAsia="en-US"/>
    </w:rPr>
  </w:style>
  <w:style w:type="character" w:styleId="871">
    <w:name w:val="Основной текст Знак"/>
    <w:next w:val="871"/>
    <w:link w:val="870"/>
    <w:rPr>
      <w:sz w:val="24"/>
      <w:szCs w:val="24"/>
    </w:rPr>
  </w:style>
  <w:style w:type="paragraph" w:styleId="872">
    <w:name w:val="UserStyle_8"/>
    <w:basedOn w:val="850"/>
    <w:next w:val="850"/>
    <w:link w:val="850"/>
    <w:uiPriority w:val="10"/>
    <w:qFormat/>
    <w:pPr>
      <w:widowControl w:val="off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73" w:default="1">
    <w:name w:val="Default Paragraph Font"/>
    <w:uiPriority w:val="1"/>
    <w:semiHidden/>
    <w:unhideWhenUsed/>
  </w:style>
  <w:style w:type="numbering" w:styleId="874" w:default="1">
    <w:name w:val="No List"/>
    <w:uiPriority w:val="99"/>
    <w:semiHidden/>
    <w:unhideWhenUsed/>
  </w:style>
  <w:style w:type="table" w:styleId="87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SGDuma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revision>72</cp:revision>
  <dcterms:created xsi:type="dcterms:W3CDTF">2024-01-17T06:44:00Z</dcterms:created>
  <dcterms:modified xsi:type="dcterms:W3CDTF">2026-04-01T10:44:55Z</dcterms:modified>
  <cp:version>1048576</cp:version>
</cp:coreProperties>
</file>