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ind w:left="5529" w:firstLine="0"/>
        <w:jc w:val="left"/>
        <w:spacing w:before="0" w:after="0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  <w:r>
        <w:rPr>
          <w:rFonts w:ascii="PT Astra Serif" w:hAnsi="PT Astra Serif"/>
          <w:b w:val="0"/>
          <w:sz w:val="28"/>
          <w:szCs w:val="28"/>
        </w:rPr>
        <w:t xml:space="preserve">области</w:t>
      </w:r>
      <w:r>
        <w:rPr>
          <w:rFonts w:ascii="PT Astra Serif" w:hAnsi="PT Astra Serif"/>
          <w:b w:val="0"/>
          <w:sz w:val="28"/>
          <w:szCs w:val="28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___________ №_____</w:t>
      </w:r>
      <w:r>
        <w:rPr>
          <w:rFonts w:ascii="PT Astra Serif" w:hAnsi="PT Astra Serif"/>
          <w:b w:val="0"/>
          <w:sz w:val="28"/>
          <w:szCs w:val="28"/>
          <w:lang w:val="ru-RU"/>
        </w:rPr>
      </w:r>
      <w:r>
        <w:rPr>
          <w:rFonts w:ascii="PT Astra Serif" w:hAnsi="PT Astra Serif"/>
          <w:b w:val="0"/>
          <w:sz w:val="28"/>
          <w:szCs w:val="28"/>
          <w:lang w:val="ru-RU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 изменений в проект межевания территории города Энгельса в границах: проспект Строителей, Эльтонское кладбище, утверждённый администрацией Энгельсского муниципального района Саратовской области от 29.06.2018 года №3007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val="en-US"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45</w:t>
      </w:r>
      <w:r>
        <w:rPr>
          <w:rFonts w:ascii="PT Astra Serif" w:hAnsi="PT Astra Serif"/>
          <w:sz w:val="28"/>
          <w:szCs w:val="28"/>
        </w:rPr>
        <w:t xml:space="preserve">, 46</w:t>
      </w:r>
      <w:r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/>
    </w:p>
    <w:p>
      <w:pPr>
        <w:pStyle w:val="85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>
        <w:rPr>
          <w:rFonts w:ascii="PT Astra Serif" w:hAnsi="PT Astra Serif"/>
          <w:sz w:val="28"/>
          <w:szCs w:val="28"/>
        </w:rPr>
        <w:t xml:space="preserve">градорегулирования</w:t>
      </w:r>
      <w:r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 xml:space="preserve">ул. Челюскинцев, д. 114, г. Саратов, 410042,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</w:t>
      </w:r>
      <w:r>
        <w:rPr>
          <w:rFonts w:ascii="PT Astra Serif" w:hAnsi="PT Astra Serif"/>
          <w:sz w:val="28"/>
          <w:szCs w:val="28"/>
        </w:rPr>
        <w:t xml:space="preserve">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17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ноября</w:t>
      </w:r>
      <w:r>
        <w:rPr>
          <w:rFonts w:ascii="PT Astra Serif" w:hAnsi="PT Astra Serif"/>
          <w:b/>
          <w:sz w:val="28"/>
          <w:szCs w:val="28"/>
        </w:rPr>
        <w:t xml:space="preserve"> 2025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>
        <w:rPr>
          <w:rFonts w:ascii="PT Astra Serif" w:hAnsi="PT Astra Serif"/>
          <w:b/>
          <w:sz w:val="28"/>
          <w:szCs w:val="28"/>
        </w:rPr>
        <w:t xml:space="preserve">1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декабря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2025</w:t>
      </w:r>
      <w:r>
        <w:rPr>
          <w:rFonts w:ascii="PT Astra Serif" w:hAnsi="PT Astra Serif"/>
          <w:b/>
          <w:sz w:val="28"/>
          <w:szCs w:val="28"/>
        </w:rPr>
        <w:t xml:space="preserve">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</w:t>
      </w:r>
      <w:r>
        <w:rPr>
          <w:rFonts w:ascii="PT Astra Serif" w:hAnsi="PT Astra Serif"/>
          <w:sz w:val="28"/>
          <w:szCs w:val="28"/>
        </w:rPr>
        <w:t xml:space="preserve">ы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представлены на экспозиции по адресу: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left="0" w:right="0" w:firstLine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Экспозиция </w:t>
      </w:r>
      <w:r>
        <w:rPr>
          <w:rFonts w:ascii="PT Astra Serif" w:hAnsi="PT Astra Serif"/>
          <w:sz w:val="28"/>
          <w:szCs w:val="28"/>
        </w:rPr>
        <w:t xml:space="preserve">открыта </w:t>
      </w:r>
      <w:r>
        <w:rPr>
          <w:rFonts w:ascii="PT Astra Serif" w:hAnsi="PT Astra Serif"/>
          <w:b/>
          <w:bCs/>
          <w:sz w:val="28"/>
          <w:szCs w:val="28"/>
        </w:rPr>
        <w:t xml:space="preserve">с 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25</w:t>
      </w:r>
      <w:r>
        <w:rPr>
          <w:rFonts w:ascii="PT Astra Serif" w:hAnsi="PT Astra Serif"/>
          <w:b/>
          <w:bCs/>
          <w:sz w:val="28"/>
          <w:szCs w:val="28"/>
        </w:rPr>
        <w:t xml:space="preserve"> ноя</w:t>
      </w:r>
      <w:r>
        <w:rPr>
          <w:rFonts w:ascii="PT Astra Serif" w:hAnsi="PT Astra Serif"/>
          <w:b/>
          <w:bCs/>
          <w:sz w:val="28"/>
          <w:szCs w:val="28"/>
        </w:rPr>
        <w:t xml:space="preserve">бря 2025 года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по</w:t>
      </w:r>
      <w:r>
        <w:rPr>
          <w:rFonts w:ascii="PT Astra Serif" w:hAnsi="PT Astra Serif"/>
          <w:b/>
          <w:bCs/>
          <w:sz w:val="28"/>
          <w:szCs w:val="28"/>
        </w:rPr>
        <w:t xml:space="preserve"> 27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ноября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202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года </w:t>
      </w:r>
      <w:r>
        <w:rPr>
          <w:rFonts w:ascii="PT Astra Serif" w:hAnsi="PT Astra Serif"/>
          <w:b/>
          <w:bCs/>
          <w:sz w:val="28"/>
          <w:szCs w:val="28"/>
        </w:rPr>
        <w:t xml:space="preserve">.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</w:t>
      </w:r>
      <w:r>
        <w:rPr>
          <w:rFonts w:ascii="PT Astra Serif" w:hAnsi="PT Astra Serif"/>
          <w:sz w:val="28"/>
          <w:szCs w:val="28"/>
        </w:rPr>
        <w:t xml:space="preserve">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</w:t>
      </w:r>
      <w:r>
        <w:rPr>
          <w:rFonts w:ascii="PT Astra Serif" w:hAnsi="PT Astra Serif"/>
          <w:sz w:val="28"/>
          <w:szCs w:val="28"/>
        </w:rPr>
        <w:t xml:space="preserve">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25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ноя</w:t>
      </w:r>
      <w:r>
        <w:rPr>
          <w:rFonts w:ascii="PT Astra Serif" w:hAnsi="PT Astra Serif"/>
          <w:b/>
          <w:bCs/>
          <w:sz w:val="28"/>
          <w:szCs w:val="28"/>
        </w:rPr>
        <w:t xml:space="preserve">бря 2025 года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по</w:t>
      </w:r>
      <w:r>
        <w:rPr>
          <w:rFonts w:ascii="PT Astra Serif" w:hAnsi="PT Astra Serif"/>
          <w:b/>
          <w:bCs/>
          <w:sz w:val="28"/>
          <w:szCs w:val="28"/>
        </w:rPr>
        <w:t xml:space="preserve"> 27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ноября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202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года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обсуждаем</w:t>
      </w:r>
      <w:r>
        <w:rPr>
          <w:rFonts w:ascii="PT Astra Serif" w:hAnsi="PT Astra Serif"/>
          <w:sz w:val="28"/>
          <w:szCs w:val="28"/>
        </w:rPr>
        <w:t xml:space="preserve">ым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документаци</w:t>
      </w:r>
      <w:r>
        <w:rPr>
          <w:rFonts w:ascii="PT Astra Serif" w:hAnsi="PT Astra Serif"/>
          <w:sz w:val="28"/>
          <w:szCs w:val="28"/>
        </w:rPr>
        <w:t xml:space="preserve">ям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</w:t>
      </w:r>
      <w:r>
        <w:rPr>
          <w:rFonts w:ascii="PT Astra Serif" w:hAnsi="PT Astra Serif"/>
          <w:sz w:val="28"/>
          <w:szCs w:val="28"/>
          <w:lang w:eastAsia="en-US"/>
        </w:rPr>
        <w:t xml:space="preserve">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</w:t>
      </w:r>
      <w:r>
        <w:rPr>
          <w:rFonts w:ascii="PT Astra Serif" w:hAnsi="PT Astra Serif"/>
          <w:sz w:val="28"/>
          <w:szCs w:val="28"/>
          <w:lang w:eastAsia="en-US"/>
        </w:rPr>
        <w:t xml:space="preserve">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</w:t>
      </w:r>
      <w:r>
        <w:rPr>
          <w:rFonts w:ascii="PT Astra Serif" w:hAnsi="PT Astra Serif"/>
          <w:sz w:val="28"/>
          <w:szCs w:val="28"/>
          <w:lang w:eastAsia="en-US"/>
        </w:rPr>
        <w:t xml:space="preserve">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</w:t>
      </w:r>
      <w:r>
        <w:rPr>
          <w:rFonts w:ascii="PT Astra Serif" w:hAnsi="PT Astra Serif"/>
          <w:sz w:val="28"/>
          <w:szCs w:val="28"/>
          <w:lang w:eastAsia="en-US"/>
        </w:rPr>
        <w:t xml:space="preserve">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r>
        <w:rPr>
          <w:rFonts w:ascii="PT Astra Serif" w:hAnsi="PT Astra Serif"/>
          <w:sz w:val="28"/>
          <w:szCs w:val="28"/>
        </w:rPr>
        <w:fldChar w:fldCharType="begin"/>
      </w:r>
      <w:r>
        <w:rPr>
          <w:rFonts w:ascii="PT Astra Serif" w:hAnsi="PT Astra Serif"/>
          <w:sz w:val="28"/>
          <w:szCs w:val="28"/>
        </w:rPr>
        <w:instrText xml:space="preserve"> HYPERLINK "consultantplus://offline/ref=160016D82FD9626A2B22FACCEFA26A250A1A47F35EDE924436F4DA7C9784D25632B7F6E9F0AB16A2AA4A23367F009090F7C186CFBBAEF0ADG" </w:instrText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  <w:lang w:eastAsia="en-US"/>
        </w:rPr>
        <w:t xml:space="preserve">части 12</w:t>
      </w:r>
      <w:r>
        <w:rPr>
          <w:rFonts w:ascii="PT Astra Serif" w:hAnsi="PT Astra Serif"/>
          <w:sz w:val="28"/>
          <w:szCs w:val="28"/>
          <w:lang w:eastAsia="en-US"/>
        </w:rPr>
        <w:fldChar w:fldCharType="end"/>
      </w:r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0"/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pStyle w:val="85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</w:t>
      </w:r>
      <w:r>
        <w:rPr>
          <w:rFonts w:ascii="PT Astra Serif" w:hAnsi="PT Astra Serif"/>
        </w:rPr>
        <w:t xml:space="preserve">________________________________________________________________________,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даю свое согласие министерству строительства и ж</w:t>
      </w:r>
      <w:r>
        <w:rPr>
          <w:rFonts w:ascii="PT Astra Serif" w:hAnsi="PT Astra Serif"/>
          <w:sz w:val="28"/>
          <w:szCs w:val="28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«____»</w:t>
      </w:r>
      <w:r>
        <w:rPr>
          <w:rFonts w:ascii="PT Astra Serif" w:hAnsi="PT Astra Serif"/>
          <w:sz w:val="28"/>
          <w:szCs w:val="28"/>
        </w:rPr>
        <w:t xml:space="preserve">_____________ 20__ года</w:t>
      </w:r>
      <w:r>
        <w:rPr>
          <w:rFonts w:ascii="PT Astra Serif" w:hAnsi="PT Astra Serif"/>
          <w:sz w:val="28"/>
          <w:szCs w:val="28"/>
        </w:rPr>
        <w:tab/>
        <w:tab/>
        <w:tab/>
      </w:r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 xml:space="preserve">________________________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  <w:tab/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pStyle w:val="85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, подлежащ</w:t>
      </w:r>
      <w:r>
        <w:rPr>
          <w:rFonts w:ascii="PT Astra Serif" w:hAnsi="PT Astra Serif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рассмотрению на общественных обсуждениях,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.ru).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0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ind w:left="1395" w:hanging="1395"/>
        <w:tabs>
          <w:tab w:val="num" w:pos="1395" w:leader="none"/>
        </w:tabs>
      </w:pPr>
    </w:lvl>
    <w:lvl w:ilvl="1">
      <w:start w:val="5"/>
      <w:numFmt w:val="decimalZero"/>
      <w:isLgl w:val="false"/>
      <w:suff w:val="tab"/>
      <w:lvlText w:val="%1.%2"/>
      <w:lvlJc w:val="left"/>
      <w:pPr>
        <w:ind w:left="1395" w:hanging="1395"/>
        <w:tabs>
          <w:tab w:val="num" w:pos="1395" w:leader="none"/>
        </w:tabs>
      </w:pPr>
    </w:lvl>
    <w:lvl w:ilvl="2">
      <w:start w:val="2006"/>
      <w:numFmt w:val="decimal"/>
      <w:isLgl w:val="false"/>
      <w:suff w:val="tab"/>
      <w:lvlText w:val="%1.%2.%3"/>
      <w:lvlJc w:val="left"/>
      <w:pPr>
        <w:ind w:left="1395" w:hanging="1395"/>
        <w:tabs>
          <w:tab w:val="num" w:pos="1395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395" w:hanging="1395"/>
        <w:tabs>
          <w:tab w:val="num" w:pos="1395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395" w:hanging="1395"/>
        <w:tabs>
          <w:tab w:val="num" w:pos="1395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uiPriority w:val="1"/>
    <w:unhideWhenUsed/>
  </w:style>
  <w:style w:type="table" w:styleId="852">
    <w:name w:val="Обычная таблица"/>
    <w:next w:val="852"/>
    <w:link w:val="850"/>
    <w:uiPriority w:val="99"/>
    <w:semiHidden/>
    <w:unhideWhenUsed/>
    <w:qFormat/>
    <w:tblPr/>
  </w:style>
  <w:style w:type="numbering" w:styleId="853">
    <w:name w:val="Нет списка"/>
    <w:next w:val="853"/>
    <w:link w:val="850"/>
    <w:uiPriority w:val="99"/>
    <w:semiHidden/>
    <w:unhideWhenUsed/>
  </w:style>
  <w:style w:type="paragraph" w:styleId="854">
    <w:name w:val="Основной текст с отступом 3"/>
    <w:basedOn w:val="850"/>
    <w:next w:val="854"/>
    <w:link w:val="855"/>
    <w:pPr>
      <w:ind w:firstLine="709"/>
      <w:jc w:val="both"/>
    </w:pPr>
    <w:rPr>
      <w:sz w:val="28"/>
      <w:szCs w:val="20"/>
      <w:lang w:val="en-US" w:eastAsia="en-US"/>
    </w:rPr>
  </w:style>
  <w:style w:type="character" w:styleId="855">
    <w:name w:val="Основной текст с отступом 3 Знак"/>
    <w:next w:val="855"/>
    <w:link w:val="854"/>
    <w:rPr>
      <w:sz w:val="28"/>
    </w:rPr>
  </w:style>
  <w:style w:type="paragraph" w:styleId="856">
    <w:name w:val="Текст выноски"/>
    <w:basedOn w:val="850"/>
    <w:next w:val="856"/>
    <w:link w:val="857"/>
    <w:rPr>
      <w:rFonts w:ascii="Tahoma" w:hAnsi="Tahoma"/>
      <w:sz w:val="16"/>
      <w:szCs w:val="16"/>
      <w:lang w:val="en-US" w:eastAsia="en-US"/>
    </w:rPr>
  </w:style>
  <w:style w:type="character" w:styleId="857">
    <w:name w:val="Текст выноски Знак"/>
    <w:next w:val="857"/>
    <w:link w:val="856"/>
    <w:rPr>
      <w:rFonts w:ascii="Tahoma" w:hAnsi="Tahoma" w:cs="Tahoma"/>
      <w:sz w:val="16"/>
      <w:szCs w:val="16"/>
    </w:rPr>
  </w:style>
  <w:style w:type="paragraph" w:styleId="858">
    <w:name w:val="Верхний колонтитул"/>
    <w:basedOn w:val="850"/>
    <w:next w:val="858"/>
    <w:link w:val="85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59">
    <w:name w:val="Верхний колонтитул Знак"/>
    <w:next w:val="859"/>
    <w:link w:val="858"/>
    <w:uiPriority w:val="99"/>
    <w:rPr>
      <w:sz w:val="24"/>
      <w:szCs w:val="24"/>
    </w:rPr>
  </w:style>
  <w:style w:type="paragraph" w:styleId="860">
    <w:name w:val="Нижний колонтитул"/>
    <w:basedOn w:val="850"/>
    <w:next w:val="860"/>
    <w:link w:val="861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1">
    <w:name w:val="Нижний колонтитул Знак"/>
    <w:next w:val="861"/>
    <w:link w:val="860"/>
    <w:rPr>
      <w:sz w:val="24"/>
      <w:szCs w:val="24"/>
    </w:rPr>
  </w:style>
  <w:style w:type="character" w:styleId="862">
    <w:name w:val="Гиперссылка"/>
    <w:next w:val="862"/>
    <w:link w:val="850"/>
    <w:rPr>
      <w:color w:val="0000ff"/>
      <w:u w:val="single"/>
    </w:rPr>
  </w:style>
  <w:style w:type="paragraph" w:styleId="863">
    <w:name w:val="Название"/>
    <w:basedOn w:val="850"/>
    <w:next w:val="850"/>
    <w:link w:val="864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64">
    <w:name w:val="Название Знак"/>
    <w:next w:val="864"/>
    <w:link w:val="863"/>
    <w:uiPriority w:val="10"/>
    <w:rPr>
      <w:rFonts w:ascii="Cambria" w:hAnsi="Cambria"/>
      <w:b/>
      <w:bCs/>
      <w:sz w:val="32"/>
      <w:szCs w:val="32"/>
    </w:rPr>
  </w:style>
  <w:style w:type="paragraph" w:styleId="865">
    <w:name w:val="Абзац списка1"/>
    <w:basedOn w:val="850"/>
    <w:next w:val="865"/>
    <w:link w:val="850"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table" w:styleId="866">
    <w:name w:val="Сетка таблицы"/>
    <w:basedOn w:val="852"/>
    <w:next w:val="866"/>
    <w:link w:val="850"/>
    <w:tblPr/>
  </w:style>
  <w:style w:type="paragraph" w:styleId="867">
    <w:name w:val="Знак Знак Char Char"/>
    <w:basedOn w:val="868"/>
    <w:next w:val="867"/>
    <w:link w:val="850"/>
    <w:pPr>
      <w:ind w:left="0"/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868">
    <w:name w:val="Обычный отступ"/>
    <w:basedOn w:val="850"/>
    <w:next w:val="868"/>
    <w:link w:val="850"/>
    <w:pPr>
      <w:ind w:left="708"/>
    </w:pPr>
  </w:style>
  <w:style w:type="paragraph" w:styleId="869">
    <w:name w:val="Без интервала"/>
    <w:next w:val="869"/>
    <w:link w:val="850"/>
    <w:uiPriority w:val="1"/>
    <w:qFormat/>
    <w:rPr>
      <w:sz w:val="24"/>
      <w:szCs w:val="24"/>
      <w:lang w:val="ru-RU" w:eastAsia="ru-RU" w:bidi="ar-SA"/>
    </w:rPr>
  </w:style>
  <w:style w:type="paragraph" w:styleId="870">
    <w:name w:val="Основной текст"/>
    <w:basedOn w:val="850"/>
    <w:next w:val="870"/>
    <w:link w:val="871"/>
    <w:pPr>
      <w:spacing w:after="120"/>
    </w:pPr>
    <w:rPr>
      <w:lang w:val="en-US" w:eastAsia="en-US"/>
    </w:rPr>
  </w:style>
  <w:style w:type="character" w:styleId="871">
    <w:name w:val="Основной текст Знак"/>
    <w:next w:val="871"/>
    <w:link w:val="870"/>
    <w:rPr>
      <w:sz w:val="24"/>
      <w:szCs w:val="24"/>
    </w:rPr>
  </w:style>
  <w:style w:type="paragraph" w:styleId="872">
    <w:name w:val="UserStyle_8"/>
    <w:basedOn w:val="850"/>
    <w:next w:val="850"/>
    <w:link w:val="850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73" w:default="1">
    <w:name w:val="Default Paragraph Font"/>
    <w:uiPriority w:val="1"/>
    <w:semiHidden/>
    <w:unhideWhenUsed/>
  </w:style>
  <w:style w:type="numbering" w:styleId="874" w:default="1">
    <w:name w:val="No List"/>
    <w:uiPriority w:val="99"/>
    <w:semiHidden/>
    <w:unhideWhenUsed/>
  </w:style>
  <w:style w:type="table" w:styleId="87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89</cp:revision>
  <dcterms:created xsi:type="dcterms:W3CDTF">2024-01-17T06:44:00Z</dcterms:created>
  <dcterms:modified xsi:type="dcterms:W3CDTF">2025-11-17T10:44:46Z</dcterms:modified>
  <cp:version>1048576</cp:version>
</cp:coreProperties>
</file>